
<file path=[Content_Types].xml><?xml version="1.0" encoding="utf-8"?>
<Types xmlns="http://schemas.openxmlformats.org/package/2006/content-types">
  <Default Extension="jpeg" ContentType="image/jpeg"/>
  <Default Extension="JPG" ContentType="image/.jpg"/>
  <Default Extension="gif" ContentType="image/gi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AEA9DA">
      <w:pPr>
        <w:jc w:val="center"/>
        <w:rPr>
          <w:rFonts w:hint="eastAsia" w:ascii="Tahoma" w:hAnsi="Tahoma" w:eastAsia="Tahoma" w:cs="Tahoma"/>
          <w:b/>
          <w:bCs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</w:pPr>
      <w:r>
        <w:rPr>
          <w:rFonts w:hint="eastAsia" w:ascii="Tahoma" w:hAnsi="Tahoma" w:eastAsia="Tahoma" w:cs="Tahoma"/>
          <w:b/>
          <w:bCs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  <w:t>关于组织申报广东省教育厅2026年度高等学校科研项目——服务“百千万工程”重点领域专项的通知</w:t>
      </w:r>
    </w:p>
    <w:p w14:paraId="4D575C52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270" w:lineRule="atLeast"/>
        <w:ind w:left="0" w:leftChars="0" w:firstLine="0" w:firstLineChars="0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bookmarkStart w:id="0" w:name="_GoBack"/>
      <w:bookmarkEnd w:id="0"/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  <w:lang w:val="en-US" w:eastAsia="zh-CN"/>
        </w:rPr>
        <w:t>学院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：</w:t>
      </w:r>
    </w:p>
    <w:p w14:paraId="2D05C902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为深入贯彻党的二十大和二十届历次全会精神，聚焦落实省委“1310”具体部署和省委、省政府关于实施“百县千镇万村高质量发展工程”（以下简称“百千万工程”）部署要求，加快推进教育强省建设，提升百校联百县助力“百千万工程”行动（简称“双百行动”）校地合作效能，根据《广东省教育厅关于组织申报2026年度高等学校科研平台和项目的通知》，现就广东省普通高校重点领域项目中的服务“百千万工程”重点领域项目申报有关事项通知如下：</w:t>
      </w:r>
    </w:p>
    <w:p w14:paraId="6EB41FB8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Style w:val="6"/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一、研究方向</w:t>
      </w:r>
    </w:p>
    <w:p w14:paraId="2B25CCF5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围绕贯彻落实省委“1310”具体部署，深入研究“百千万工程”推进过程中的重点难点问题，以“双百行动”结对县域急需解决的重点需求为导向，推进县域产业发展、城乡规划建设服务、基本公共服务一体化等方面的研究，重点支持关键技术攻关、科技成果转化、特色产业培育、农业现代化、产业链延伸，城乡布局规划和镇村文旅规划、历史文化保护与活化利用，基础教育教学质量提升等方面的研究，推进县域高质量发展和城乡区域均衡协调发展，推动“百千万工程”不断取得新突破。</w:t>
      </w:r>
    </w:p>
    <w:p w14:paraId="5B295315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前期省“双百行动”专班办公室面向省内各有关县（市、区）征集重点难点需求，梳理形成了县域重点需求清单（详见附件1），鼓励各高校以县域重点需求清单为重要参考和选题导向，结合自身学科优势与研究基础，针对清单中的需求进行科学凝练、深化细化、跨域整合等，自主确定符合立项要求的科研项目进行申报，需求清单中涉及多学科、多领域的，鼓励跨学科、跨领域负责人联合申报。各高校也可围绕“百千万工程”重点领域其他需求自主选题申报。</w:t>
      </w:r>
    </w:p>
    <w:p w14:paraId="27AE65C3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600" w:firstLine="0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Style w:val="6"/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二、申报要求</w:t>
      </w:r>
    </w:p>
    <w:p w14:paraId="792E8E61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1.申报项目的负责人须为高校在职在岗的教学科研和管理人员，具有良好的思想政治素质和学术道德，具有高级职称，在所申报学科领域具有一定的研究基础，能独立开展和组织研究工作。负责人要结合自身研究基础和学术专长，在要求的研究领域内自主确定具体的研究项目选题，每名负责人限报1个项目。承担省教育厅高等学校科研项目尚未完成（结题）者，不得再申请新项目。每人同时主持和参与的科研项目累计最多不超过3项。同一课题已获得国家级或省部级计划资助者，不得重复申报。</w:t>
      </w:r>
    </w:p>
    <w:p w14:paraId="30B49C9A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2.申报项目应具有明确的研究目标、主攻方向，具有对重大 项目开展研究必备的平台、设备及其它各种条件。项目的申报以课题的方式成立项目组，项目组应由3名及以上具备申请条件的人员组成，各项目组成员能够通力协作，按期完成科研项目。申报项目重视学科交叉与渗透，鼓励跨学科、跨学校、跨部门和跨地区的联合研究。研究周期一般不超过2年。</w:t>
      </w:r>
    </w:p>
    <w:p w14:paraId="0A746111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3.学校要加强对申报项目的审核，特别要严把哲学社会科学类项目的政治关，生命科学、医学、人工智能等涉及科技伦理的项目，需通过科技伦理（审查）委员会的简易程序审查，并获得审查批准的批件作为附件材料上传系统。经查实违反学术道德、科研诚信和科研伦理，存在学术不端行为的人员不得申报。</w:t>
      </w:r>
    </w:p>
    <w:p w14:paraId="626CECF4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4.本项目重点扶持有与学校“双百行动”相关的科研项目。</w:t>
      </w:r>
    </w:p>
    <w:p w14:paraId="63057DE0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Style w:val="6"/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三、申报及立项方式</w:t>
      </w:r>
    </w:p>
    <w:p w14:paraId="2B5A9B54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此次立项按照学校推荐和省教育厅组织专家评审的方式，择优予以立项。申报对象为参与“双百行动”的高校，高职院校不超过1项。</w:t>
      </w:r>
    </w:p>
    <w:p w14:paraId="12FA96D0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Style w:val="6"/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四、资助经费</w:t>
      </w:r>
    </w:p>
    <w:p w14:paraId="2FB6F6E2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此次申报的科研项目，由省教育厅批准立项。申报人提交《申报书》上未填写支持经费的，一律不接受申报。</w:t>
      </w:r>
    </w:p>
    <w:p w14:paraId="58FF6C9D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Style w:val="6"/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五、有关要求</w:t>
      </w:r>
    </w:p>
    <w:p w14:paraId="27DF30AD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1.申请人应认真阅研本通知及有关规定，遵守科学道德和诚信要求，如实填报材料，确保无知识产权争议。</w:t>
      </w:r>
    </w:p>
    <w:p w14:paraId="7FCF5D18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2.省教育厅将于2027年6月对本次立项项目开展中期评估工作。</w:t>
      </w:r>
    </w:p>
    <w:p w14:paraId="44BBD332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315" w:lineRule="atLeast"/>
        <w:ind w:left="0" w:firstLine="645"/>
        <w:jc w:val="left"/>
        <w:textAlignment w:val="baseline"/>
        <w:rPr>
          <w:rFonts w:ascii="Arial" w:hAnsi="Arial" w:cs="Arial"/>
          <w:i w:val="0"/>
          <w:iCs w:val="0"/>
          <w:caps w:val="0"/>
          <w:color w:val="565347"/>
          <w:spacing w:val="0"/>
          <w:sz w:val="21"/>
          <w:szCs w:val="21"/>
        </w:rPr>
      </w:pP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3.申报工作采取网上申报方式，由于本项目限项申报，申请人需先</w:t>
      </w:r>
      <w:r>
        <w:rPr>
          <w:rFonts w:hint="eastAsia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  <w:lang w:val="en-US" w:eastAsia="zh-CN"/>
        </w:rPr>
        <w:t>钉钉向徐智君老师</w:t>
      </w: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提交申报，在通过校内评审后再登录省教育厅申报系统进行申报。</w:t>
      </w:r>
    </w:p>
    <w:p w14:paraId="03AA70C4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315" w:lineRule="atLeast"/>
        <w:ind w:left="0" w:firstLine="645"/>
        <w:jc w:val="left"/>
        <w:textAlignment w:val="baseline"/>
        <w:rPr>
          <w:rFonts w:hint="default" w:ascii="Arial" w:hAnsi="Arial" w:cs="Arial"/>
          <w:i w:val="0"/>
          <w:iCs w:val="0"/>
          <w:caps w:val="0"/>
          <w:color w:val="565347"/>
          <w:spacing w:val="0"/>
          <w:sz w:val="21"/>
          <w:szCs w:val="21"/>
        </w:rPr>
      </w:pP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4.申请人须在2026年6月24日前</w:t>
      </w:r>
      <w:r>
        <w:rPr>
          <w:rFonts w:hint="eastAsia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  <w:lang w:val="en-US" w:eastAsia="zh-CN"/>
        </w:rPr>
        <w:t>钉钉</w:t>
      </w: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提交电子版材料，其中完整版申报书应包括申请人及成员签字，如有合作单位，必须盖章，与外单位老师合作不属于单位合作，无需填合作单位。</w:t>
      </w:r>
    </w:p>
    <w:p w14:paraId="3821C7BB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315" w:lineRule="atLeast"/>
        <w:ind w:left="0" w:firstLine="645"/>
        <w:jc w:val="left"/>
        <w:textAlignment w:val="baseline"/>
        <w:rPr>
          <w:rFonts w:hint="default" w:ascii="Arial" w:hAnsi="Arial" w:cs="Arial"/>
          <w:i w:val="0"/>
          <w:iCs w:val="0"/>
          <w:caps w:val="0"/>
          <w:color w:val="565347"/>
          <w:spacing w:val="0"/>
          <w:sz w:val="21"/>
          <w:szCs w:val="21"/>
        </w:rPr>
      </w:pP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5.科研</w:t>
      </w:r>
      <w:r>
        <w:rPr>
          <w:rFonts w:hint="eastAsia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  <w:lang w:val="en-US" w:eastAsia="zh-CN"/>
        </w:rPr>
        <w:t>处会</w:t>
      </w: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通知通过校内评审的申请人，请接到通知后于7月5日前在省教育厅申报系统进行网上申报并上传佐证材料。省教育厅申报系统网址为(https://gdjyky.gds.edu.cn/)。</w:t>
      </w:r>
    </w:p>
    <w:p w14:paraId="63AC6DFD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315" w:lineRule="atLeast"/>
        <w:ind w:left="0" w:firstLine="645"/>
        <w:jc w:val="left"/>
        <w:textAlignment w:val="baseline"/>
        <w:rPr>
          <w:rFonts w:hint="default" w:ascii="Arial" w:hAnsi="Arial" w:cs="Arial"/>
          <w:i w:val="0"/>
          <w:iCs w:val="0"/>
          <w:caps w:val="0"/>
          <w:color w:val="565347"/>
          <w:spacing w:val="0"/>
          <w:sz w:val="21"/>
          <w:szCs w:val="21"/>
        </w:rPr>
      </w:pP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6.在省教育厅系统申报过程中如遇技术问题，请在申报系统首页下方扫描“易普客服”二维码(具体如下)进入在线技术服务咨询，或致电400-800-1636咨询。技术服务时间为工作日：上午8:30-12:00,下午13:30-18:00。</w:t>
      </w:r>
    </w:p>
    <w:p w14:paraId="55FCA1E3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270" w:lineRule="atLeast"/>
        <w:ind w:left="0" w:firstLine="0"/>
        <w:jc w:val="center"/>
        <w:rPr>
          <w:rFonts w:hint="eastAsia" w:ascii="Tahoma" w:hAnsi="Tahoma" w:eastAsia="Tahoma" w:cs="Tahoma"/>
          <w:i w:val="0"/>
          <w:iCs w:val="0"/>
          <w:caps w:val="0"/>
          <w:color w:val="565347"/>
          <w:spacing w:val="0"/>
          <w:sz w:val="18"/>
          <w:szCs w:val="18"/>
        </w:rPr>
      </w:pPr>
      <w:r>
        <w:rPr>
          <w:rFonts w:hint="default" w:ascii="Tahoma" w:hAnsi="Tahoma" w:eastAsia="Tahoma" w:cs="Tahoma"/>
          <w:i w:val="0"/>
          <w:iCs w:val="0"/>
          <w:caps w:val="0"/>
          <w:color w:val="565347"/>
          <w:spacing w:val="0"/>
          <w:sz w:val="18"/>
          <w:szCs w:val="18"/>
          <w:shd w:val="clear" w:fill="FFFFFF"/>
        </w:rPr>
        <w:drawing>
          <wp:inline distT="0" distB="0" distL="114300" distR="114300">
            <wp:extent cx="304800" cy="304800"/>
            <wp:effectExtent l="0" t="0" r="0" b="0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4B96CBD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270" w:lineRule="atLeast"/>
        <w:ind w:left="0" w:firstLine="0"/>
        <w:jc w:val="left"/>
        <w:rPr>
          <w:rFonts w:hint="default" w:ascii="Tahoma" w:hAnsi="Tahoma" w:eastAsia="Tahoma" w:cs="Tahoma"/>
          <w:i w:val="0"/>
          <w:iCs w:val="0"/>
          <w:caps w:val="0"/>
          <w:color w:val="565347"/>
          <w:spacing w:val="0"/>
          <w:sz w:val="18"/>
          <w:szCs w:val="18"/>
        </w:rPr>
      </w:pPr>
      <w:r>
        <w:rPr>
          <w:rFonts w:hint="default" w:ascii="Tahoma" w:hAnsi="Tahoma" w:eastAsia="Tahoma" w:cs="Tahoma"/>
          <w:i w:val="0"/>
          <w:iCs w:val="0"/>
          <w:caps w:val="0"/>
          <w:color w:val="565347"/>
          <w:spacing w:val="0"/>
          <w:sz w:val="18"/>
          <w:szCs w:val="18"/>
          <w:shd w:val="clear" w:fill="FFFFFF"/>
        </w:rPr>
        <w:drawing>
          <wp:inline distT="0" distB="0" distL="114300" distR="114300">
            <wp:extent cx="142875" cy="142875"/>
            <wp:effectExtent l="0" t="0" r="0" b="0"/>
            <wp:docPr id="1" name="图片 2" descr="点击并拖拽以移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点击并拖拽以移动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287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16F3590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315" w:lineRule="atLeast"/>
        <w:ind w:left="0" w:firstLine="645"/>
        <w:jc w:val="left"/>
        <w:textAlignment w:val="baseline"/>
        <w:rPr>
          <w:rFonts w:hint="default" w:ascii="Arial" w:hAnsi="Arial" w:cs="Arial"/>
          <w:i w:val="0"/>
          <w:iCs w:val="0"/>
          <w:caps w:val="0"/>
          <w:color w:val="565347"/>
          <w:spacing w:val="0"/>
          <w:sz w:val="21"/>
          <w:szCs w:val="21"/>
        </w:rPr>
      </w:pPr>
    </w:p>
    <w:p w14:paraId="62AAD86E">
      <w:pPr>
        <w:pStyle w:val="3"/>
        <w:keepNext w:val="0"/>
        <w:keepLines w:val="0"/>
        <w:widowControl/>
        <w:suppressLineNumbers w:val="0"/>
        <w:shd w:val="clear" w:fill="FFFFFF"/>
        <w:spacing w:after="75" w:afterAutospacing="0" w:line="315" w:lineRule="atLeast"/>
        <w:ind w:left="0" w:firstLine="645"/>
        <w:jc w:val="left"/>
        <w:textAlignment w:val="baseline"/>
        <w:rPr>
          <w:rFonts w:hint="default" w:ascii="Arial" w:hAnsi="Arial" w:cs="Arial"/>
          <w:i w:val="0"/>
          <w:iCs w:val="0"/>
          <w:caps w:val="0"/>
          <w:color w:val="565347"/>
          <w:spacing w:val="0"/>
          <w:sz w:val="21"/>
          <w:szCs w:val="21"/>
        </w:rPr>
      </w:pPr>
      <w:r>
        <w:rPr>
          <w:rFonts w:hint="default" w:ascii="仿宋_GB2312" w:hAnsi="Arial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本通知的项目申报书不随文下发，请自行登陆广东省教育厅科研处数字科研服务平台(https://gdjyky.gds.edu.cn/)- 工作指南下载。</w:t>
      </w:r>
    </w:p>
    <w:p w14:paraId="54CD18E4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270" w:lineRule="atLeast"/>
        <w:ind w:left="0" w:firstLine="0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</w:p>
    <w:p w14:paraId="6947C3F3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附件：1.“双百行动”县域重点需求清单</w:t>
      </w:r>
    </w:p>
    <w:p w14:paraId="17D107CA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473" w:lineRule="atLeast"/>
        <w:ind w:left="0" w:firstLine="645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2.2026年广东高校服务“百千万工程”重点领域项目申报汇总表</w:t>
      </w:r>
    </w:p>
    <w:p w14:paraId="519DC08F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270" w:lineRule="atLeast"/>
        <w:ind w:left="0" w:firstLine="0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</w:p>
    <w:p w14:paraId="348FB907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270" w:lineRule="atLeast"/>
        <w:ind w:left="0" w:firstLine="0"/>
        <w:jc w:val="lef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</w:p>
    <w:p w14:paraId="4D0DFCAE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270" w:lineRule="atLeast"/>
        <w:ind w:left="0" w:firstLine="0"/>
        <w:jc w:val="right"/>
        <w:textAlignment w:val="baseline"/>
        <w:rPr>
          <w:rFonts w:hint="eastAsia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lang w:val="en-US" w:eastAsia="zh-CN"/>
        </w:rPr>
        <w:t>科研处</w:t>
      </w:r>
    </w:p>
    <w:p w14:paraId="053C5507">
      <w:pPr>
        <w:pStyle w:val="3"/>
        <w:keepNext w:val="0"/>
        <w:keepLines w:val="0"/>
        <w:widowControl/>
        <w:suppressLineNumbers w:val="0"/>
        <w:shd w:val="clear" w:fill="FFFFFF"/>
        <w:spacing w:before="105" w:beforeAutospacing="0" w:after="75" w:afterAutospacing="0" w:line="270" w:lineRule="atLeast"/>
        <w:ind w:left="0" w:firstLine="0"/>
        <w:jc w:val="right"/>
        <w:textAlignment w:val="baseline"/>
        <w:rPr>
          <w:rFonts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2026年6月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  <w:lang w:val="en-US" w:eastAsia="zh-CN"/>
        </w:rPr>
        <w:t>18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565347"/>
          <w:spacing w:val="0"/>
          <w:sz w:val="31"/>
          <w:szCs w:val="31"/>
          <w:shd w:val="clear" w:fill="FFFFFF"/>
          <w:vertAlign w:val="baseline"/>
        </w:rPr>
        <w:t>日</w:t>
      </w:r>
    </w:p>
    <w:p w14:paraId="54ACE813">
      <w:pPr>
        <w:rPr>
          <w:rFonts w:hint="eastAsia" w:ascii="Tahoma" w:hAnsi="Tahoma" w:eastAsia="Tahoma" w:cs="Tahoma"/>
          <w:b/>
          <w:bCs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2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1D53F0"/>
    <w:rsid w:val="25347DC1"/>
    <w:rsid w:val="2B1F098C"/>
    <w:rsid w:val="3C1D53F0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GIF"/><Relationship Id="rId6" Type="http://schemas.openxmlformats.org/officeDocument/2006/relationships/image" Target="../NUL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2026-06-22T00:17:00Z</dcterms:created>
  <dc:creator>Administrator</dc:creator>
  <cp:lastModifiedBy>Administrator</cp:lastModifiedBy>
  <dcterms:modified xsi:type="dcterms:W3CDTF">2026-06-22T00:22:27Z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B56CBD8E185F47C1BA97EFF86FF61107_11</vt:lpwstr>
  </property>
  <property fmtid="{D5CDD505-2E9C-101B-9397-08002B2CF9AE}" pid="4" name="KSOTemplateDocerSaveRecord">
    <vt:lpwstr>eyJoZGlkIjoiOWMzZGYxNTRkODQxMjBhNTY2ZGU2YmM5ZGQ2ZjI5NDciLCJ1c2VySWQiOiIyMTI1OTg4NSJ9</vt:lpwstr>
  </property>
</Properties>
</file>