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w:t>
      </w:r>
      <w:r>
        <w:rPr>
          <w:rFonts w:hint="eastAsia" w:asciiTheme="majorEastAsia" w:hAnsiTheme="majorEastAsia" w:eastAsiaTheme="majorEastAsia" w:cstheme="majorEastAsia"/>
          <w:b/>
          <w:bCs/>
          <w:color w:val="auto"/>
          <w:sz w:val="32"/>
          <w:szCs w:val="32"/>
          <w:lang w:val="en-US" w:eastAsia="zh-CN"/>
        </w:rPr>
        <w:t>8</w:t>
      </w:r>
      <w:r>
        <w:rPr>
          <w:rFonts w:hint="eastAsia" w:asciiTheme="majorEastAsia" w:hAnsiTheme="majorEastAsia" w:eastAsiaTheme="majorEastAsia" w:cstheme="majorEastAsia"/>
          <w:b/>
          <w:bCs/>
          <w:color w:val="auto"/>
          <w:sz w:val="32"/>
          <w:szCs w:val="32"/>
          <w:lang w:eastAsia="zh-CN"/>
        </w:rPr>
        <w:t>、</w:t>
      </w:r>
      <w:r>
        <w:rPr>
          <w:rFonts w:hint="eastAsia" w:asciiTheme="majorEastAsia" w:hAnsiTheme="majorEastAsia" w:eastAsiaTheme="majorEastAsia" w:cstheme="majorEastAsia"/>
          <w:b/>
          <w:bCs/>
          <w:color w:val="auto"/>
          <w:sz w:val="32"/>
          <w:szCs w:val="32"/>
          <w:lang w:val="en-US" w:eastAsia="zh-CN"/>
        </w:rPr>
        <w:t>19</w:t>
      </w:r>
      <w:r>
        <w:rPr>
          <w:rFonts w:hint="eastAsia" w:asciiTheme="majorEastAsia" w:hAnsiTheme="majorEastAsia" w:eastAsiaTheme="majorEastAsia" w:cstheme="majorEastAsia"/>
          <w:b/>
          <w:bCs/>
          <w:color w:val="auto"/>
          <w:sz w:val="32"/>
          <w:szCs w:val="32"/>
          <w:lang w:eastAsia="zh-CN"/>
        </w:rPr>
        <w:t>栋</w:t>
      </w:r>
      <w:r>
        <w:rPr>
          <w:rFonts w:hint="eastAsia" w:asciiTheme="majorEastAsia" w:hAnsiTheme="majorEastAsia" w:eastAsiaTheme="majorEastAsia" w:cstheme="majorEastAsia"/>
          <w:b/>
          <w:bCs/>
          <w:color w:val="auto"/>
          <w:sz w:val="32"/>
          <w:szCs w:val="32"/>
          <w:lang w:val="en-US" w:eastAsia="zh-CN"/>
        </w:rPr>
        <w:t>洗手台</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项目概况：广州华夏职业学院三期工程18、19栋洗手台和橱柜采购。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pPr w:leftFromText="180" w:rightFromText="180" w:vertAnchor="text" w:horzAnchor="page" w:tblpX="1581" w:tblpY="721"/>
        <w:tblOverlap w:val="never"/>
        <w:tblW w:w="97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45"/>
        <w:gridCol w:w="2055"/>
        <w:gridCol w:w="825"/>
        <w:gridCol w:w="855"/>
        <w:gridCol w:w="1665"/>
        <w:gridCol w:w="1377"/>
        <w:gridCol w:w="1377"/>
      </w:tblGrid>
      <w:tr w14:paraId="7E5AB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7"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1B07">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名称</w:t>
            </w:r>
          </w:p>
        </w:tc>
        <w:tc>
          <w:tcPr>
            <w:tcW w:w="20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00CB3">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材质</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F364D">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AA81">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单位</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56943">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参数</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4BA6D">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单价/元（套）</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D339C">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含税总价</w:t>
            </w:r>
          </w:p>
        </w:tc>
      </w:tr>
      <w:tr w14:paraId="2B2AE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19"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5047B">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洗手台</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F9B23">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79A48">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327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D1F51">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9F49">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75F21">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EEDA8">
            <w:pPr>
              <w:numPr>
                <w:ilvl w:val="0"/>
                <w:numId w:val="0"/>
              </w:numPr>
              <w:jc w:val="center"/>
              <w:rPr>
                <w:rFonts w:hint="default" w:ascii="宋体" w:hAnsi="宋体" w:eastAsia="宋体" w:cs="宋体"/>
                <w:color w:val="auto"/>
                <w:sz w:val="28"/>
                <w:szCs w:val="28"/>
                <w:lang w:val="en-US" w:eastAsia="zh-CN"/>
              </w:rPr>
            </w:pPr>
          </w:p>
        </w:tc>
      </w:tr>
      <w:tr w14:paraId="7E543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19"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F8419">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橱柜</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2AF67">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8811D">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365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BD60E">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D8D57">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CFDE5">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9BEC3">
            <w:pPr>
              <w:numPr>
                <w:ilvl w:val="0"/>
                <w:numId w:val="0"/>
              </w:numPr>
              <w:jc w:val="center"/>
              <w:rPr>
                <w:rFonts w:hint="default" w:ascii="宋体" w:hAnsi="宋体" w:eastAsia="宋体" w:cs="宋体"/>
                <w:color w:val="auto"/>
                <w:sz w:val="28"/>
                <w:szCs w:val="28"/>
                <w:lang w:val="en-US" w:eastAsia="zh-CN"/>
              </w:rPr>
            </w:pPr>
          </w:p>
        </w:tc>
      </w:tr>
      <w:tr w14:paraId="2494C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19"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403FB">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卫生间壁龛</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3BC4">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98BDF">
            <w:pPr>
              <w:numPr>
                <w:ilvl w:val="0"/>
                <w:numId w:val="0"/>
              </w:numPr>
              <w:ind w:left="0" w:leftChars="0" w:firstLine="0" w:firstLineChars="0"/>
              <w:jc w:val="center"/>
              <w:rPr>
                <w:rFonts w:hint="default"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327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CB93A">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4BBF">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15B1">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12047">
            <w:pPr>
              <w:numPr>
                <w:ilvl w:val="0"/>
                <w:numId w:val="0"/>
              </w:numPr>
              <w:jc w:val="center"/>
              <w:rPr>
                <w:rFonts w:hint="default" w:ascii="宋体" w:hAnsi="宋体" w:eastAsia="宋体" w:cs="宋体"/>
                <w:color w:val="auto"/>
                <w:sz w:val="28"/>
                <w:szCs w:val="28"/>
                <w:lang w:val="en-US" w:eastAsia="zh-CN"/>
              </w:rPr>
            </w:pPr>
          </w:p>
        </w:tc>
      </w:tr>
      <w:tr w14:paraId="697CD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979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7DAB8CE">
            <w:pPr>
              <w:numPr>
                <w:ilvl w:val="0"/>
                <w:numId w:val="0"/>
              </w:numPr>
              <w:jc w:val="center"/>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注：报价含不锈钢洗手盆、下水器，不含龙头（龙头采购人提供，成交人无偿安装）</w:t>
            </w:r>
          </w:p>
        </w:tc>
      </w:tr>
    </w:tbl>
    <w:p w14:paraId="79FA7B23">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3024755E">
      <w:pPr>
        <w:pStyle w:val="2"/>
        <w:numPr>
          <w:ilvl w:val="0"/>
          <w:numId w:val="0"/>
        </w:numPr>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2.3商务要求</w:t>
      </w:r>
    </w:p>
    <w:p w14:paraId="70C1E23E">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19EE2A36">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5459F579">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664431B2">
      <w:pPr>
        <w:keepNext w:val="0"/>
        <w:keepLines w:val="0"/>
        <w:widowControl/>
        <w:numPr>
          <w:ilvl w:val="0"/>
          <w:numId w:val="4"/>
        </w:numPr>
        <w:suppressLineNumbers w:val="0"/>
        <w:jc w:val="left"/>
        <w:rPr>
          <w:rFonts w:hint="eastAsia" w:ascii="宋体" w:hAnsi="宋体" w:eastAsia="宋体" w:cs="宋体"/>
          <w:b w:val="0"/>
          <w:bCs w:val="0"/>
          <w:color w:val="auto"/>
          <w:kern w:val="2"/>
          <w:sz w:val="28"/>
          <w:szCs w:val="28"/>
          <w:highlight w:val="none"/>
          <w:lang w:val="zh-CN" w:eastAsia="zh-CN" w:bidi="ar-SA"/>
        </w:rPr>
      </w:pPr>
      <w:r>
        <w:rPr>
          <w:rFonts w:hint="eastAsia" w:ascii="宋体" w:hAnsi="宋体" w:eastAsia="宋体" w:cs="宋体"/>
          <w:b w:val="0"/>
          <w:bCs w:val="0"/>
          <w:color w:val="auto"/>
          <w:kern w:val="2"/>
          <w:sz w:val="28"/>
          <w:szCs w:val="28"/>
          <w:highlight w:val="none"/>
          <w:lang w:val="zh-CN" w:eastAsia="zh-CN" w:bidi="ar-SA"/>
        </w:rPr>
        <w:t>报价要求：</w:t>
      </w:r>
    </w:p>
    <w:p w14:paraId="1E87585F">
      <w:pPr>
        <w:keepNext w:val="0"/>
        <w:keepLines w:val="0"/>
        <w:widowControl/>
        <w:numPr>
          <w:ilvl w:val="0"/>
          <w:numId w:val="5"/>
        </w:numPr>
        <w:suppressLineNumbers w:val="0"/>
        <w:ind w:firstLine="560" w:firstLineChars="200"/>
        <w:jc w:val="left"/>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发票），报价包购置、检测、安装、运输保险、装卸、培训辅导、质保期售后服务、不锈钢洗手盆、下水器、含增值税专用发票、雇员费用、卫生清理及合同实施过程中应预见和不可预见费用等</w:t>
      </w:r>
      <w:r>
        <w:rPr>
          <w:rFonts w:hint="eastAsia" w:ascii="宋体" w:hAnsi="宋体" w:cs="宋体"/>
          <w:b w:val="0"/>
          <w:bCs w:val="0"/>
          <w:color w:val="auto"/>
          <w:kern w:val="2"/>
          <w:sz w:val="28"/>
          <w:szCs w:val="28"/>
          <w:highlight w:val="none"/>
          <w:lang w:val="zh-CN" w:eastAsia="zh-CN" w:bidi="ar-SA"/>
        </w:rPr>
        <w:t>、</w:t>
      </w:r>
      <w:r>
        <w:rPr>
          <w:rFonts w:hint="eastAsia" w:ascii="宋体" w:hAnsi="宋体" w:eastAsia="宋体" w:cs="宋体"/>
          <w:b w:val="0"/>
          <w:bCs w:val="0"/>
          <w:color w:val="auto"/>
          <w:kern w:val="2"/>
          <w:sz w:val="28"/>
          <w:szCs w:val="28"/>
          <w:highlight w:val="none"/>
          <w:lang w:val="zh-CN" w:eastAsia="zh-CN" w:bidi="ar-SA"/>
        </w:rPr>
        <w:t>运输费、保险费、验收费、货到工地卸车费、伴随货物交运的有关费用和标准附件价费、包含预见和不可预见的一切费用，如无列出，视作已考虑在报价内</w:t>
      </w:r>
      <w:r>
        <w:rPr>
          <w:rFonts w:hint="eastAsia" w:ascii="宋体" w:hAnsi="宋体" w:cs="宋体"/>
          <w:b w:val="0"/>
          <w:bCs w:val="0"/>
          <w:color w:val="auto"/>
          <w:kern w:val="2"/>
          <w:sz w:val="28"/>
          <w:szCs w:val="28"/>
          <w:highlight w:val="none"/>
          <w:lang w:val="zh-CN" w:eastAsia="zh-CN" w:bidi="ar-SA"/>
        </w:rPr>
        <w:t>。</w:t>
      </w:r>
    </w:p>
    <w:p w14:paraId="646A3A39">
      <w:pPr>
        <w:pStyle w:val="2"/>
        <w:numPr>
          <w:ilvl w:val="0"/>
          <w:numId w:val="5"/>
        </w:numPr>
        <w:ind w:left="0" w:leftChars="0" w:firstLine="560" w:firstLineChars="200"/>
        <w:rPr>
          <w:rFonts w:hint="eastAsia" w:ascii="宋体" w:hAnsi="宋体" w:eastAsia="宋体" w:cs="宋体"/>
          <w:b w:val="0"/>
          <w:bCs w:val="0"/>
          <w:color w:val="auto"/>
          <w:kern w:val="2"/>
          <w:sz w:val="28"/>
          <w:szCs w:val="28"/>
          <w:highlight w:val="none"/>
          <w:lang w:val="en-US" w:eastAsia="zh-CN" w:bidi="ar-SA"/>
        </w:rPr>
      </w:pPr>
      <w:r>
        <w:rPr>
          <w:rFonts w:hint="eastAsia" w:ascii="宋体" w:hAnsi="宋体" w:eastAsia="宋体" w:cs="宋体"/>
          <w:b w:val="0"/>
          <w:bCs w:val="0"/>
          <w:color w:val="auto"/>
          <w:kern w:val="2"/>
          <w:sz w:val="28"/>
          <w:szCs w:val="28"/>
          <w:highlight w:val="none"/>
          <w:lang w:val="en-US" w:eastAsia="zh-CN" w:bidi="ar-SA"/>
        </w:rPr>
        <w:t>按图纸制作，颜色参考样板</w:t>
      </w:r>
      <w:r>
        <w:rPr>
          <w:rFonts w:hint="eastAsia" w:ascii="宋体" w:hAnsi="宋体" w:cs="宋体"/>
          <w:b w:val="0"/>
          <w:bCs w:val="0"/>
          <w:color w:val="auto"/>
          <w:kern w:val="2"/>
          <w:sz w:val="28"/>
          <w:szCs w:val="28"/>
          <w:highlight w:val="none"/>
          <w:lang w:val="en-US" w:eastAsia="zh-CN" w:bidi="ar-SA"/>
        </w:rPr>
        <w:t>。</w:t>
      </w:r>
    </w:p>
    <w:p w14:paraId="7BC1F2F0">
      <w:pPr>
        <w:keepNext w:val="0"/>
        <w:keepLines w:val="0"/>
        <w:widowControl/>
        <w:numPr>
          <w:ilvl w:val="0"/>
          <w:numId w:val="5"/>
        </w:numPr>
        <w:suppressLineNumbers w:val="0"/>
        <w:ind w:firstLine="560" w:firstLineChars="200"/>
        <w:jc w:val="left"/>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本次</w:t>
      </w:r>
      <w:r>
        <w:rPr>
          <w:rFonts w:hint="eastAsia" w:ascii="宋体" w:hAnsi="宋体" w:cs="宋体"/>
          <w:b w:val="0"/>
          <w:bCs w:val="0"/>
          <w:color w:val="auto"/>
          <w:sz w:val="28"/>
          <w:szCs w:val="28"/>
          <w:lang w:val="en-US" w:eastAsia="zh-CN"/>
        </w:rPr>
        <w:t>采购</w:t>
      </w:r>
      <w:r>
        <w:rPr>
          <w:rFonts w:hint="eastAsia" w:ascii="宋体" w:hAnsi="宋体" w:eastAsia="宋体" w:cs="宋体"/>
          <w:b w:val="0"/>
          <w:bCs w:val="0"/>
          <w:color w:val="auto"/>
          <w:sz w:val="28"/>
          <w:szCs w:val="28"/>
          <w:lang w:val="en-US" w:eastAsia="zh-CN"/>
        </w:rPr>
        <w:t>清单内货物采购人可根据场地实际情况增减数量，最终结算以实际安装数量为准。</w:t>
      </w:r>
    </w:p>
    <w:p w14:paraId="4CB91099">
      <w:pPr>
        <w:pStyle w:val="2"/>
        <w:numPr>
          <w:ilvl w:val="0"/>
          <w:numId w:val="5"/>
        </w:numPr>
        <w:ind w:left="0" w:leftChars="0" w:firstLine="560" w:firstLineChars="200"/>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需在18栋宿舍阳台做一套成品样板最终确认。</w:t>
      </w:r>
    </w:p>
    <w:p w14:paraId="04901437">
      <w:pPr>
        <w:keepNext w:val="0"/>
        <w:keepLines w:val="0"/>
        <w:widowControl/>
        <w:numPr>
          <w:ilvl w:val="0"/>
          <w:numId w:val="5"/>
        </w:numPr>
        <w:suppressLineNumbers w:val="0"/>
        <w:ind w:firstLine="560" w:firstLineChars="200"/>
        <w:jc w:val="left"/>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洗手台配套不锈钢盆参数和技术要求：304不锈钢材质，面板厚度3.0mm、盆胆厚度0.8mm、单龙头孔,纳米枪灰色打砂（详见样板），尺寸450mm*400mm*210mm。安装洗手盆等材料所用的玻璃胶必须为防霉玻璃胶。</w:t>
      </w:r>
    </w:p>
    <w:p w14:paraId="13980E89">
      <w:pPr>
        <w:pStyle w:val="2"/>
        <w:numPr>
          <w:ilvl w:val="0"/>
          <w:numId w:val="5"/>
        </w:numPr>
        <w:ind w:left="0" w:leftChars="0" w:firstLine="560" w:firstLineChars="200"/>
        <w:rPr>
          <w:rFonts w:hint="eastAsia" w:ascii="宋体" w:hAnsi="宋体" w:eastAsia="宋体" w:cs="宋体"/>
          <w:b/>
          <w:bCs/>
          <w:color w:val="auto"/>
          <w:sz w:val="28"/>
          <w:szCs w:val="28"/>
          <w:lang w:val="en-US" w:eastAsia="zh-CN"/>
        </w:rPr>
      </w:pPr>
      <w:r>
        <w:rPr>
          <w:rFonts w:hint="eastAsia" w:ascii="宋体" w:hAnsi="宋体" w:eastAsia="宋体" w:cs="宋体"/>
          <w:b w:val="0"/>
          <w:bCs w:val="0"/>
          <w:color w:val="auto"/>
          <w:kern w:val="2"/>
          <w:sz w:val="28"/>
          <w:szCs w:val="28"/>
          <w:lang w:val="en-US" w:eastAsia="zh-CN" w:bidi="ar-SA"/>
        </w:rPr>
        <w:t>蜂窝铝板橱柜外框门尺寸总厚度38mm，铝框20mm，蜂窝铝板门厚18mm。（颜色待定）</w:t>
      </w:r>
      <w:r>
        <w:rPr>
          <w:rFonts w:hint="eastAsia" w:ascii="宋体" w:hAnsi="宋体" w:cs="宋体"/>
          <w:b w:val="0"/>
          <w:bCs w:val="0"/>
          <w:color w:val="auto"/>
          <w:kern w:val="2"/>
          <w:sz w:val="28"/>
          <w:szCs w:val="28"/>
          <w:lang w:val="en-US" w:eastAsia="zh-CN" w:bidi="ar-SA"/>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3</w:t>
      </w: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货款结算方式：合同签订生效后10个工作日内采购人预付30%款项；安装完毕且经采购人验收合格后凭提供货款全额有效税票7个工作日内支付合同总金额的65%，余款5%为质保金，验收合格之日起满一年7个工作日内无息支付。</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（4）交付使用时间及地点：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交货时间要求：根据采购人工程进度通知进场施工安装，采购人通知后24小时内进场。</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12AA8391">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2.4 质量保证和售后服务要求</w:t>
      </w:r>
    </w:p>
    <w:p w14:paraId="4CD573CD">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（1）质量保证期：成交人对货物提供至少</w:t>
      </w:r>
      <w:r>
        <w:rPr>
          <w:rFonts w:hint="eastAsia" w:ascii="宋体" w:hAnsi="宋体" w:cs="宋体"/>
          <w:b w:val="0"/>
          <w:bCs w:val="0"/>
          <w:color w:val="auto"/>
          <w:kern w:val="2"/>
          <w:sz w:val="28"/>
          <w:szCs w:val="28"/>
          <w:lang w:val="en-US" w:eastAsia="zh-CN" w:bidi="ar-SA"/>
        </w:rPr>
        <w:t>18个月</w:t>
      </w:r>
      <w:r>
        <w:rPr>
          <w:rFonts w:hint="eastAsia" w:ascii="宋体" w:hAnsi="宋体" w:eastAsia="宋体" w:cs="宋体"/>
          <w:b w:val="0"/>
          <w:bCs w:val="0"/>
          <w:color w:val="auto"/>
          <w:kern w:val="2"/>
          <w:sz w:val="28"/>
          <w:szCs w:val="28"/>
          <w:lang w:val="en-US" w:eastAsia="zh-CN" w:bidi="ar-SA"/>
        </w:rPr>
        <w:t>免费上门全质保服务，质保期自双方在验收报告签字之日起计算。质保期内，成交人负责对其提供的货物上门进行件维修维护，采购人不再支付任何费用，但人为因素或自然灾害造成的损坏除外。</w:t>
      </w:r>
    </w:p>
    <w:p w14:paraId="5CEEC0C4">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2）质保期内，成交人在接到采购人系统故障或问题告知后，2小时内进行电话响应排除故障，若电话中无法解决，8小时内到达现场排除故障。如果需要更换配件的，更换的配件跟被更换的品牌、类型相一致或者是同类更高档次的替代品，并且须征得采购人管理人员同意。因货物故障停用的时间，保修期相应顺延。</w:t>
      </w:r>
    </w:p>
    <w:p w14:paraId="060DDD27">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lang w:val="en-US" w:eastAsia="zh-CN" w:bidi="ar-SA"/>
        </w:rPr>
      </w:pPr>
      <w:r>
        <w:rPr>
          <w:rFonts w:hint="eastAsia" w:ascii="宋体" w:hAnsi="宋体" w:eastAsia="宋体" w:cs="宋体"/>
          <w:b w:val="0"/>
          <w:bCs w:val="0"/>
          <w:color w:val="auto"/>
          <w:kern w:val="2"/>
          <w:sz w:val="28"/>
          <w:szCs w:val="28"/>
          <w:lang w:val="en-US" w:eastAsia="zh-CN" w:bidi="ar-SA"/>
        </w:rPr>
        <w:t>（3）质保期内对故障的报修，如成交人未能做到上款的服务承诺，采购人可采取必要的补救措施，但其风险和费用由成交人承担，采购人根据合同规定对成交人行使的其它权利不受影响。</w:t>
      </w:r>
      <w:bookmarkStart w:id="8" w:name="_GoBack"/>
      <w:bookmarkEnd w:id="8"/>
    </w:p>
    <w:p w14:paraId="7ED6C12A">
      <w:pPr>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2.5 现场勘探</w:t>
      </w:r>
    </w:p>
    <w:p w14:paraId="44B1A224">
      <w:pPr>
        <w:keepNext w:val="0"/>
        <w:keepLines w:val="0"/>
        <w:pageBreakBefore w:val="0"/>
        <w:widowControl w:val="0"/>
        <w:numPr>
          <w:ilvl w:val="0"/>
          <w:numId w:val="6"/>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供应商必须认真核对现场</w:t>
      </w:r>
      <w:r>
        <w:rPr>
          <w:rFonts w:hint="eastAsia" w:ascii="宋体" w:hAnsi="宋体" w:cs="宋体"/>
          <w:sz w:val="28"/>
          <w:szCs w:val="28"/>
          <w:highlight w:val="none"/>
          <w:lang w:val="en-US" w:eastAsia="zh-CN"/>
        </w:rPr>
        <w:t>、样板及</w:t>
      </w:r>
      <w:r>
        <w:rPr>
          <w:rFonts w:hint="eastAsia" w:ascii="宋体" w:hAnsi="宋体" w:eastAsia="宋体" w:cs="宋体"/>
          <w:sz w:val="28"/>
          <w:szCs w:val="28"/>
          <w:highlight w:val="none"/>
          <w:lang w:val="en-US" w:eastAsia="zh-CN"/>
        </w:rPr>
        <w:t>图纸，派技术代表进入现场确认，成交后不得增加任何费用。</w:t>
      </w:r>
    </w:p>
    <w:p w14:paraId="4A4BC775">
      <w:pPr>
        <w:keepNext w:val="0"/>
        <w:keepLines w:val="0"/>
        <w:pageBreakBefore w:val="0"/>
        <w:widowControl w:val="0"/>
        <w:numPr>
          <w:ilvl w:val="0"/>
          <w:numId w:val="6"/>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现场勘探地址：广东省广州市从化区城鳌大道东772号（学14-15栋宿舍）。</w:t>
      </w:r>
    </w:p>
    <w:p w14:paraId="4FA22740">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（3）勘测及答疑时间:2026年5月</w:t>
      </w:r>
      <w:r>
        <w:rPr>
          <w:rFonts w:hint="eastAsia" w:ascii="宋体" w:hAnsi="宋体" w:cs="宋体"/>
          <w:sz w:val="28"/>
          <w:szCs w:val="28"/>
          <w:highlight w:val="none"/>
          <w:lang w:val="en-US" w:eastAsia="zh-CN"/>
        </w:rPr>
        <w:t>24</w:t>
      </w:r>
      <w:r>
        <w:rPr>
          <w:rFonts w:hint="eastAsia" w:ascii="宋体" w:hAnsi="宋体" w:eastAsia="宋体" w:cs="宋体"/>
          <w:sz w:val="28"/>
          <w:szCs w:val="28"/>
          <w:highlight w:val="none"/>
          <w:lang w:val="en-US" w:eastAsia="zh-CN"/>
        </w:rPr>
        <w:t>日</w:t>
      </w:r>
      <w:r>
        <w:rPr>
          <w:rFonts w:hint="eastAsia" w:ascii="宋体" w:hAnsi="宋体" w:cs="宋体"/>
          <w:sz w:val="28"/>
          <w:szCs w:val="28"/>
          <w:highlight w:val="none"/>
          <w:lang w:val="en-US" w:eastAsia="zh-CN"/>
        </w:rPr>
        <w:t>下</w:t>
      </w:r>
      <w:r>
        <w:rPr>
          <w:rFonts w:hint="eastAsia" w:ascii="宋体" w:hAnsi="宋体" w:eastAsia="宋体" w:cs="宋体"/>
          <w:sz w:val="28"/>
          <w:szCs w:val="28"/>
          <w:highlight w:val="none"/>
          <w:lang w:val="en-US" w:eastAsia="zh-CN"/>
        </w:rPr>
        <w:t>午</w:t>
      </w:r>
      <w:r>
        <w:rPr>
          <w:rFonts w:hint="eastAsia" w:ascii="宋体" w:hAnsi="宋体" w:cs="宋体"/>
          <w:sz w:val="28"/>
          <w:szCs w:val="28"/>
          <w:highlight w:val="none"/>
          <w:lang w:val="en-US" w:eastAsia="zh-CN"/>
        </w:rPr>
        <w:t>17</w:t>
      </w:r>
      <w:r>
        <w:rPr>
          <w:rFonts w:hint="eastAsia" w:ascii="宋体" w:hAnsi="宋体" w:eastAsia="宋体" w:cs="宋体"/>
          <w:sz w:val="28"/>
          <w:szCs w:val="28"/>
          <w:highlight w:val="none"/>
          <w:lang w:val="en-US" w:eastAsia="zh-CN"/>
        </w:rPr>
        <w:t>点前，过时不候。</w:t>
      </w:r>
    </w:p>
    <w:p w14:paraId="13B21697">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（4）联系人：蒋老师 电话：18902288069</w:t>
      </w:r>
    </w:p>
    <w:p w14:paraId="567EA67B">
      <w:pPr>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2.6图纸</w:t>
      </w:r>
    </w:p>
    <w:p w14:paraId="6EE271A8">
      <w:pPr>
        <w:pStyle w:val="2"/>
      </w:pPr>
      <w:r>
        <w:drawing>
          <wp:inline distT="0" distB="0" distL="114300" distR="114300">
            <wp:extent cx="5273675" cy="3709670"/>
            <wp:effectExtent l="0" t="0" r="14605" b="889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273675" cy="3709670"/>
                    </a:xfrm>
                    <a:prstGeom prst="rect">
                      <a:avLst/>
                    </a:prstGeom>
                    <a:noFill/>
                    <a:ln>
                      <a:noFill/>
                    </a:ln>
                  </pic:spPr>
                </pic:pic>
              </a:graphicData>
            </a:graphic>
          </wp:inline>
        </w:drawing>
      </w:r>
    </w:p>
    <w:p w14:paraId="560B9BBD">
      <w:pPr>
        <w:rPr>
          <w:rFonts w:hint="eastAsia" w:eastAsia="楷体_GB2312"/>
          <w:lang w:val="en-US" w:eastAsia="zh-CN"/>
        </w:rPr>
      </w:pPr>
      <w:r>
        <w:rPr>
          <w:rFonts w:hint="eastAsia" w:eastAsia="楷体_GB2312"/>
          <w:lang w:val="en-US" w:eastAsia="zh-CN"/>
        </w:rPr>
        <w:drawing>
          <wp:inline distT="0" distB="0" distL="114300" distR="114300">
            <wp:extent cx="5263515" cy="3474720"/>
            <wp:effectExtent l="0" t="0" r="9525" b="0"/>
            <wp:docPr id="2" name="图片 2" descr="d5596d31c329c493b28422e377abc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5596d31c329c493b28422e377abcfe"/>
                    <pic:cNvPicPr>
                      <a:picLocks noChangeAspect="1"/>
                    </pic:cNvPicPr>
                  </pic:nvPicPr>
                  <pic:blipFill>
                    <a:blip r:embed="rId7"/>
                    <a:stretch>
                      <a:fillRect/>
                    </a:stretch>
                  </pic:blipFill>
                  <pic:spPr>
                    <a:xfrm>
                      <a:off x="0" y="0"/>
                      <a:ext cx="5263515" cy="3474720"/>
                    </a:xfrm>
                    <a:prstGeom prst="rect">
                      <a:avLst/>
                    </a:prstGeom>
                  </pic:spPr>
                </pic:pic>
              </a:graphicData>
            </a:graphic>
          </wp:inline>
        </w:drawing>
      </w:r>
    </w:p>
    <w:p w14:paraId="73196E70">
      <w:pPr>
        <w:pStyle w:val="2"/>
        <w:rPr>
          <w:rFonts w:hint="default"/>
          <w:lang w:val="en-US" w:eastAsia="zh-CN"/>
        </w:rPr>
      </w:pPr>
    </w:p>
    <w:p w14:paraId="259D3E18">
      <w:pPr>
        <w:pStyle w:val="2"/>
      </w:pPr>
      <w:r>
        <w:drawing>
          <wp:inline distT="0" distB="0" distL="114300" distR="114300">
            <wp:extent cx="5267960" cy="3638550"/>
            <wp:effectExtent l="0" t="0" r="5080" b="381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8"/>
                    <a:stretch>
                      <a:fillRect/>
                    </a:stretch>
                  </pic:blipFill>
                  <pic:spPr>
                    <a:xfrm>
                      <a:off x="0" y="0"/>
                      <a:ext cx="5267960" cy="3638550"/>
                    </a:xfrm>
                    <a:prstGeom prst="rect">
                      <a:avLst/>
                    </a:prstGeom>
                    <a:noFill/>
                    <a:ln>
                      <a:noFill/>
                    </a:ln>
                  </pic:spPr>
                </pic:pic>
              </a:graphicData>
            </a:graphic>
          </wp:inline>
        </w:drawing>
      </w:r>
    </w:p>
    <w:p w14:paraId="19518F9C">
      <w:pPr>
        <w:rPr>
          <w:rFonts w:hint="eastAsia" w:eastAsia="楷体_GB2312"/>
          <w:lang w:eastAsia="zh-CN"/>
        </w:rPr>
      </w:pPr>
      <w:r>
        <w:rPr>
          <w:rFonts w:hint="eastAsia" w:eastAsia="楷体_GB2312"/>
          <w:lang w:eastAsia="zh-CN"/>
        </w:rPr>
        <w:drawing>
          <wp:inline distT="0" distB="0" distL="114300" distR="114300">
            <wp:extent cx="5266690" cy="4153535"/>
            <wp:effectExtent l="0" t="0" r="6350" b="6985"/>
            <wp:docPr id="5" name="图片 5" descr="f49d11aa96ee6fe8d6f3317df93e5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f49d11aa96ee6fe8d6f3317df93e58e"/>
                    <pic:cNvPicPr>
                      <a:picLocks noChangeAspect="1"/>
                    </pic:cNvPicPr>
                  </pic:nvPicPr>
                  <pic:blipFill>
                    <a:blip r:embed="rId9"/>
                    <a:stretch>
                      <a:fillRect/>
                    </a:stretch>
                  </pic:blipFill>
                  <pic:spPr>
                    <a:xfrm>
                      <a:off x="0" y="0"/>
                      <a:ext cx="5266690" cy="4153535"/>
                    </a:xfrm>
                    <a:prstGeom prst="rect">
                      <a:avLst/>
                    </a:prstGeom>
                  </pic:spPr>
                </pic:pic>
              </a:graphicData>
            </a:graphic>
          </wp:inline>
        </w:drawing>
      </w:r>
    </w:p>
    <w:p w14:paraId="0DADBD7F">
      <w:pPr>
        <w:pStyle w:val="2"/>
      </w:pPr>
      <w:r>
        <w:drawing>
          <wp:inline distT="0" distB="0" distL="114300" distR="114300">
            <wp:extent cx="5264785" cy="3729355"/>
            <wp:effectExtent l="0" t="0" r="8255" b="444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0"/>
                    <a:stretch>
                      <a:fillRect/>
                    </a:stretch>
                  </pic:blipFill>
                  <pic:spPr>
                    <a:xfrm>
                      <a:off x="0" y="0"/>
                      <a:ext cx="5264785" cy="3729355"/>
                    </a:xfrm>
                    <a:prstGeom prst="rect">
                      <a:avLst/>
                    </a:prstGeom>
                    <a:noFill/>
                    <a:ln>
                      <a:noFill/>
                    </a:ln>
                  </pic:spPr>
                </pic:pic>
              </a:graphicData>
            </a:graphic>
          </wp:inline>
        </w:drawing>
      </w:r>
    </w:p>
    <w:p w14:paraId="0BC88AF2">
      <w:pPr>
        <w:rPr>
          <w:rFonts w:hint="default"/>
          <w:lang w:val="en-US" w:eastAsia="zh-CN"/>
        </w:rPr>
      </w:pPr>
    </w:p>
    <w:p w14:paraId="4825356D">
      <w:pPr>
        <w:rPr>
          <w:rFonts w:hint="eastAsia"/>
          <w:lang w:val="en-US" w:eastAsia="zh-CN"/>
        </w:rPr>
      </w:pPr>
    </w:p>
    <w:p w14:paraId="2EC08F76">
      <w:pPr>
        <w:rPr>
          <w:rFonts w:hint="eastAsia"/>
          <w:lang w:val="en-US" w:eastAsia="zh-CN"/>
        </w:rPr>
      </w:pPr>
    </w:p>
    <w:p w14:paraId="55936FF7">
      <w:pPr>
        <w:rPr>
          <w:rFonts w:hint="eastAsia" w:ascii="宋体" w:hAnsi="宋体" w:cs="宋体"/>
          <w:b w:val="0"/>
          <w:bCs w:val="0"/>
          <w:color w:val="auto"/>
          <w:sz w:val="28"/>
          <w:szCs w:val="28"/>
          <w:lang w:val="en-US" w:eastAsia="zh-CN"/>
        </w:rPr>
      </w:pPr>
    </w:p>
    <w:p w14:paraId="09180F1B">
      <w:pPr>
        <w:pStyle w:val="2"/>
        <w:rPr>
          <w:rFonts w:hint="eastAsia" w:ascii="宋体" w:hAnsi="宋体" w:cs="宋体"/>
          <w:b w:val="0"/>
          <w:bCs w:val="0"/>
          <w:color w:val="auto"/>
          <w:sz w:val="28"/>
          <w:szCs w:val="28"/>
          <w:lang w:val="en-US" w:eastAsia="zh-CN"/>
        </w:rPr>
      </w:pPr>
    </w:p>
    <w:p w14:paraId="0E1920DC">
      <w:pPr>
        <w:rPr>
          <w:rFonts w:hint="eastAsia" w:ascii="宋体" w:hAnsi="宋体" w:cs="宋体"/>
          <w:b w:val="0"/>
          <w:bCs w:val="0"/>
          <w:color w:val="auto"/>
          <w:sz w:val="28"/>
          <w:szCs w:val="28"/>
          <w:lang w:val="en-US" w:eastAsia="zh-CN"/>
        </w:rPr>
      </w:pPr>
    </w:p>
    <w:p w14:paraId="039C4675">
      <w:pPr>
        <w:pStyle w:val="2"/>
        <w:rPr>
          <w:rFonts w:hint="eastAsia" w:ascii="宋体" w:hAnsi="宋体" w:cs="宋体"/>
          <w:b w:val="0"/>
          <w:bCs w:val="0"/>
          <w:color w:val="auto"/>
          <w:sz w:val="28"/>
          <w:szCs w:val="28"/>
          <w:lang w:val="en-US" w:eastAsia="zh-CN"/>
        </w:rPr>
      </w:pPr>
    </w:p>
    <w:p w14:paraId="6F5132C2">
      <w:pPr>
        <w:rPr>
          <w:rFonts w:hint="eastAsia" w:ascii="宋体" w:hAnsi="宋体" w:cs="宋体"/>
          <w:b w:val="0"/>
          <w:bCs w:val="0"/>
          <w:color w:val="auto"/>
          <w:sz w:val="28"/>
          <w:szCs w:val="28"/>
          <w:lang w:val="en-US" w:eastAsia="zh-CN"/>
        </w:rPr>
      </w:pPr>
    </w:p>
    <w:p w14:paraId="3A566934">
      <w:pPr>
        <w:pStyle w:val="2"/>
        <w:rPr>
          <w:rFonts w:hint="eastAsia" w:ascii="宋体" w:hAnsi="宋体" w:cs="宋体"/>
          <w:b w:val="0"/>
          <w:bCs w:val="0"/>
          <w:color w:val="auto"/>
          <w:sz w:val="28"/>
          <w:szCs w:val="28"/>
          <w:lang w:val="en-US" w:eastAsia="zh-CN"/>
        </w:rPr>
      </w:pPr>
    </w:p>
    <w:p w14:paraId="040DC9C2">
      <w:pPr>
        <w:rPr>
          <w:rFonts w:hint="eastAsia" w:ascii="宋体" w:hAnsi="宋体" w:cs="宋体"/>
          <w:b w:val="0"/>
          <w:bCs w:val="0"/>
          <w:color w:val="auto"/>
          <w:sz w:val="28"/>
          <w:szCs w:val="28"/>
          <w:lang w:val="en-US" w:eastAsia="zh-CN"/>
        </w:rPr>
      </w:pPr>
    </w:p>
    <w:p w14:paraId="1890B31F">
      <w:pPr>
        <w:pStyle w:val="2"/>
        <w:rPr>
          <w:rFonts w:hint="eastAsia" w:ascii="宋体" w:hAnsi="宋体" w:cs="宋体"/>
          <w:b w:val="0"/>
          <w:bCs w:val="0"/>
          <w:color w:val="auto"/>
          <w:sz w:val="28"/>
          <w:szCs w:val="28"/>
          <w:lang w:val="en-US" w:eastAsia="zh-CN"/>
        </w:rPr>
      </w:pPr>
    </w:p>
    <w:p w14:paraId="5CFB06FE">
      <w:pPr>
        <w:rPr>
          <w:rFonts w:hint="eastAsia" w:ascii="宋体" w:hAnsi="宋体" w:cs="宋体"/>
          <w:b w:val="0"/>
          <w:bCs w:val="0"/>
          <w:color w:val="auto"/>
          <w:sz w:val="28"/>
          <w:szCs w:val="28"/>
          <w:lang w:val="en-US" w:eastAsia="zh-CN"/>
        </w:rPr>
      </w:pPr>
    </w:p>
    <w:p w14:paraId="773F59F8">
      <w:pPr>
        <w:pStyle w:val="2"/>
        <w:rPr>
          <w:rFonts w:hint="eastAsia" w:ascii="宋体" w:hAnsi="宋体" w:cs="宋体"/>
          <w:b w:val="0"/>
          <w:bCs w:val="0"/>
          <w:color w:val="auto"/>
          <w:sz w:val="28"/>
          <w:szCs w:val="28"/>
          <w:lang w:val="en-US" w:eastAsia="zh-CN"/>
        </w:rPr>
      </w:pPr>
    </w:p>
    <w:p w14:paraId="3E381CC4">
      <w:pPr>
        <w:rPr>
          <w:rFonts w:hint="eastAsia" w:ascii="宋体" w:hAnsi="宋体" w:cs="宋体"/>
          <w:b w:val="0"/>
          <w:bCs w:val="0"/>
          <w:color w:val="auto"/>
          <w:sz w:val="28"/>
          <w:szCs w:val="28"/>
          <w:lang w:val="en-US" w:eastAsia="zh-CN"/>
        </w:rPr>
      </w:pPr>
    </w:p>
    <w:p w14:paraId="5EE20308">
      <w:pPr>
        <w:pStyle w:val="2"/>
        <w:rPr>
          <w:rFonts w:hint="eastAsia" w:ascii="宋体" w:hAnsi="宋体" w:cs="宋体"/>
          <w:b w:val="0"/>
          <w:bCs w:val="0"/>
          <w:color w:val="auto"/>
          <w:sz w:val="28"/>
          <w:szCs w:val="28"/>
          <w:lang w:val="en-US" w:eastAsia="zh-CN"/>
        </w:rPr>
      </w:pPr>
    </w:p>
    <w:p w14:paraId="523EA98E">
      <w:pPr>
        <w:rPr>
          <w:rFonts w:hint="eastAsia" w:ascii="宋体" w:hAnsi="宋体" w:cs="宋体"/>
          <w:b w:val="0"/>
          <w:bCs w:val="0"/>
          <w:color w:val="auto"/>
          <w:sz w:val="28"/>
          <w:szCs w:val="28"/>
          <w:lang w:val="en-US" w:eastAsia="zh-CN"/>
        </w:rPr>
      </w:pPr>
    </w:p>
    <w:p w14:paraId="63DA19C5">
      <w:pPr>
        <w:pStyle w:val="2"/>
        <w:rPr>
          <w:rFonts w:hint="eastAsia" w:ascii="宋体" w:hAnsi="宋体" w:cs="宋体"/>
          <w:b w:val="0"/>
          <w:bCs w:val="0"/>
          <w:color w:val="auto"/>
          <w:sz w:val="28"/>
          <w:szCs w:val="28"/>
          <w:lang w:val="en-US" w:eastAsia="zh-CN"/>
        </w:rPr>
      </w:pPr>
    </w:p>
    <w:p w14:paraId="3A4322A1">
      <w:pPr>
        <w:rPr>
          <w:rFonts w:hint="eastAsia" w:ascii="宋体" w:hAnsi="宋体" w:cs="宋体"/>
          <w:b w:val="0"/>
          <w:bCs w:val="0"/>
          <w:color w:val="auto"/>
          <w:sz w:val="28"/>
          <w:szCs w:val="28"/>
          <w:lang w:val="en-US" w:eastAsia="zh-CN"/>
        </w:rPr>
      </w:pPr>
    </w:p>
    <w:p w14:paraId="79B59B84">
      <w:pPr>
        <w:pStyle w:val="2"/>
        <w:rPr>
          <w:rFonts w:hint="eastAsia" w:ascii="宋体" w:hAnsi="宋体" w:cs="宋体"/>
          <w:b w:val="0"/>
          <w:bCs w:val="0"/>
          <w:color w:val="auto"/>
          <w:sz w:val="28"/>
          <w:szCs w:val="28"/>
          <w:lang w:val="en-US" w:eastAsia="zh-CN"/>
        </w:rPr>
      </w:pPr>
    </w:p>
    <w:p w14:paraId="219D62F5">
      <w:pPr>
        <w:rPr>
          <w:rFonts w:hint="eastAsia" w:ascii="宋体" w:hAnsi="宋体" w:cs="宋体"/>
          <w:b w:val="0"/>
          <w:bCs w:val="0"/>
          <w:color w:val="auto"/>
          <w:sz w:val="28"/>
          <w:szCs w:val="28"/>
          <w:lang w:val="en-US" w:eastAsia="zh-CN"/>
        </w:rPr>
      </w:pPr>
    </w:p>
    <w:p w14:paraId="438F79DA">
      <w:pPr>
        <w:pStyle w:val="2"/>
        <w:rPr>
          <w:rFonts w:hint="eastAsia"/>
          <w:lang w:val="en-US" w:eastAsia="zh-CN"/>
        </w:rPr>
      </w:pPr>
    </w:p>
    <w:p w14:paraId="6BF57C12">
      <w:pPr>
        <w:rPr>
          <w:rFonts w:hint="eastAsia"/>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05</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25</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05</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19日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0" w:name="_Toc390088376"/>
            <w:r>
              <w:rPr>
                <w:rFonts w:hint="eastAsia" w:ascii="宋体" w:hAnsi="宋体" w:eastAsia="宋体" w:cs="宋体"/>
                <w:b w:val="0"/>
                <w:color w:val="auto"/>
                <w:kern w:val="0"/>
              </w:rPr>
              <w:t>正本或副本</w:t>
            </w:r>
            <w:bookmarkEnd w:id="0"/>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6"/>
        <w:tblpPr w:leftFromText="180" w:rightFromText="180" w:vertAnchor="text" w:horzAnchor="page" w:tblpX="1581" w:tblpY="721"/>
        <w:tblOverlap w:val="never"/>
        <w:tblW w:w="97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45"/>
        <w:gridCol w:w="2055"/>
        <w:gridCol w:w="825"/>
        <w:gridCol w:w="855"/>
        <w:gridCol w:w="1665"/>
        <w:gridCol w:w="1377"/>
        <w:gridCol w:w="1377"/>
      </w:tblGrid>
      <w:tr w14:paraId="088ED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7"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8B326">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名称</w:t>
            </w:r>
          </w:p>
        </w:tc>
        <w:tc>
          <w:tcPr>
            <w:tcW w:w="20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BB3B2">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材质</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7DEAF">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4E1DC">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单位</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0FAB1">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参数</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E0120">
            <w:pPr>
              <w:numPr>
                <w:ilvl w:val="0"/>
                <w:numId w:val="0"/>
              </w:numPr>
              <w:jc w:val="center"/>
              <w:rPr>
                <w:rFonts w:hint="default" w:ascii="宋体" w:hAnsi="宋体" w:eastAsia="宋体" w:cs="宋体"/>
                <w:color w:val="auto"/>
                <w:sz w:val="28"/>
                <w:szCs w:val="28"/>
                <w:lang w:val="en-US" w:eastAsia="zh-CN"/>
              </w:rPr>
            </w:pPr>
            <w:r>
              <w:rPr>
                <w:rFonts w:hint="eastAsia" w:ascii="宋体" w:hAnsi="宋体" w:cs="宋体"/>
                <w:color w:val="auto"/>
                <w:sz w:val="28"/>
                <w:szCs w:val="28"/>
                <w:lang w:val="en-US" w:eastAsia="zh-CN"/>
              </w:rPr>
              <w:t>含税</w:t>
            </w:r>
            <w:r>
              <w:rPr>
                <w:rFonts w:hint="eastAsia" w:ascii="宋体" w:hAnsi="宋体" w:eastAsia="宋体" w:cs="宋体"/>
                <w:color w:val="auto"/>
                <w:sz w:val="28"/>
                <w:szCs w:val="28"/>
                <w:lang w:val="en-US" w:eastAsia="zh-CN"/>
              </w:rPr>
              <w:t>单价/元（套）</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4D15E">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含税总价</w:t>
            </w:r>
          </w:p>
        </w:tc>
      </w:tr>
      <w:tr w14:paraId="15557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2"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0B06">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洗手台</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65A5B">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4AFA2">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327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9B915">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AFBB7">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DDB39">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CFCDA">
            <w:pPr>
              <w:numPr>
                <w:ilvl w:val="0"/>
                <w:numId w:val="0"/>
              </w:numPr>
              <w:jc w:val="center"/>
              <w:rPr>
                <w:rFonts w:hint="default" w:ascii="宋体" w:hAnsi="宋体" w:eastAsia="宋体" w:cs="宋体"/>
                <w:color w:val="auto"/>
                <w:sz w:val="28"/>
                <w:szCs w:val="28"/>
                <w:lang w:val="en-US" w:eastAsia="zh-CN"/>
              </w:rPr>
            </w:pPr>
          </w:p>
        </w:tc>
      </w:tr>
      <w:tr w14:paraId="084FA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2"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44749">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橱柜</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6DC17">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01EE0">
            <w:pPr>
              <w:numPr>
                <w:ilvl w:val="0"/>
                <w:numId w:val="0"/>
              </w:numPr>
              <w:jc w:val="center"/>
              <w:rPr>
                <w:rFonts w:hint="default"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365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5B3DA">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AFF68">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D9E53">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4209D">
            <w:pPr>
              <w:numPr>
                <w:ilvl w:val="0"/>
                <w:numId w:val="0"/>
              </w:numPr>
              <w:jc w:val="center"/>
              <w:rPr>
                <w:rFonts w:hint="default" w:ascii="宋体" w:hAnsi="宋体" w:eastAsia="宋体" w:cs="宋体"/>
                <w:color w:val="auto"/>
                <w:sz w:val="28"/>
                <w:szCs w:val="28"/>
                <w:lang w:val="en-US" w:eastAsia="zh-CN"/>
              </w:rPr>
            </w:pPr>
          </w:p>
        </w:tc>
      </w:tr>
      <w:tr w14:paraId="432E5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76" w:hRule="atLeast"/>
        </w:trPr>
        <w:tc>
          <w:tcPr>
            <w:tcW w:w="16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9B5AE">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卫生间壁龛</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FF5FB">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人造石英石</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69C8A">
            <w:pPr>
              <w:numPr>
                <w:ilvl w:val="0"/>
                <w:numId w:val="0"/>
              </w:numPr>
              <w:ind w:left="0" w:leftChars="0" w:firstLine="0" w:firstLineChars="0"/>
              <w:jc w:val="center"/>
              <w:rPr>
                <w:rFonts w:hint="default"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327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9AE86">
            <w:pPr>
              <w:numPr>
                <w:ilvl w:val="0"/>
                <w:numId w:val="0"/>
              </w:numPr>
              <w:ind w:left="0" w:leftChars="0" w:firstLine="0" w:firstLineChars="0"/>
              <w:jc w:val="center"/>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sz w:val="28"/>
                <w:szCs w:val="28"/>
                <w:lang w:val="en-US" w:eastAsia="zh-CN"/>
              </w:rPr>
              <w:t>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255DD">
            <w:pPr>
              <w:numPr>
                <w:ilvl w:val="0"/>
                <w:numId w:val="0"/>
              </w:numPr>
              <w:jc w:val="center"/>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详见图纸</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D91EE">
            <w:pPr>
              <w:numPr>
                <w:ilvl w:val="0"/>
                <w:numId w:val="0"/>
              </w:numPr>
              <w:jc w:val="center"/>
              <w:rPr>
                <w:rFonts w:hint="default" w:ascii="宋体" w:hAnsi="宋体" w:eastAsia="宋体" w:cs="宋体"/>
                <w:color w:val="auto"/>
                <w:sz w:val="28"/>
                <w:szCs w:val="28"/>
                <w:lang w:val="en-US" w:eastAsia="zh-CN"/>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3BD16">
            <w:pPr>
              <w:numPr>
                <w:ilvl w:val="0"/>
                <w:numId w:val="0"/>
              </w:numPr>
              <w:jc w:val="center"/>
              <w:rPr>
                <w:rFonts w:hint="default" w:ascii="宋体" w:hAnsi="宋体" w:eastAsia="宋体" w:cs="宋体"/>
                <w:color w:val="auto"/>
                <w:sz w:val="28"/>
                <w:szCs w:val="28"/>
                <w:lang w:val="en-US" w:eastAsia="zh-CN"/>
              </w:rPr>
            </w:pPr>
          </w:p>
        </w:tc>
      </w:tr>
      <w:tr w14:paraId="115F3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979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6013D0">
            <w:pPr>
              <w:numPr>
                <w:ilvl w:val="0"/>
                <w:numId w:val="0"/>
              </w:numPr>
              <w:jc w:val="center"/>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注：报价含不锈钢洗手盆、下水器，不含龙头（龙头采购人提供，成交人无偿安装）</w:t>
            </w:r>
          </w:p>
        </w:tc>
      </w:tr>
    </w:tbl>
    <w:p w14:paraId="121637C7">
      <w:pPr>
        <w:pStyle w:val="2"/>
        <w:rPr>
          <w:rFonts w:hint="eastAsia"/>
        </w:rPr>
      </w:pPr>
    </w:p>
    <w:p w14:paraId="5386CA6A">
      <w:pPr>
        <w:pStyle w:val="2"/>
        <w:rPr>
          <w:rFonts w:hint="eastAsia" w:eastAsia="宋体"/>
          <w:lang w:val="en-US" w:eastAsia="zh-CN"/>
        </w:rPr>
      </w:pPr>
      <w:r>
        <w:rPr>
          <w:rFonts w:hint="eastAsia"/>
          <w:lang w:val="en-US" w:eastAsia="zh-CN"/>
        </w:rPr>
        <w:t>注：供应商需根据清单报出单价，报价为含税报价（有效税票为增值税专用发票），报价包购置、检测、安装、运输保险、装卸、培训辅导、质保期售后服务、不锈钢洗手盆、下水器、含增值税专用发票、雇员费用、卫生清理及合同实施过程中应预见和不可预见费用等、运输费、保险费、验收费、货到工地卸车费、伴随货物交运的有关费用和标准附件价费、包含预见和不可预见的一切费用，如无列出，视作已考虑在报价内。</w:t>
      </w: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2" w:name="_Toc515616107"/>
      <w:r>
        <w:rPr>
          <w:rFonts w:hint="eastAsia" w:ascii="宋体" w:hAnsi="宋体" w:eastAsia="宋体" w:cs="宋体"/>
          <w:b/>
          <w:bCs w:val="0"/>
          <w:color w:val="auto"/>
          <w:sz w:val="32"/>
          <w:szCs w:val="32"/>
        </w:rPr>
        <w:t>（五） 资格证明文件</w:t>
      </w:r>
      <w:bookmarkEnd w:id="2"/>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3" w:name="_Toc515616108"/>
      <w:r>
        <w:rPr>
          <w:rFonts w:hint="eastAsia" w:ascii="宋体" w:hAnsi="宋体" w:eastAsia="宋体" w:cs="宋体"/>
          <w:b/>
          <w:bCs w:val="0"/>
          <w:color w:val="auto"/>
        </w:rPr>
        <w:t>（六） 企业综合概况</w:t>
      </w:r>
      <w:bookmarkEnd w:id="3"/>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4" w:name="_Toc515616110"/>
      <w:r>
        <w:rPr>
          <w:rFonts w:hint="eastAsia" w:ascii="宋体" w:hAnsi="宋体" w:eastAsia="宋体" w:cs="宋体"/>
          <w:b/>
          <w:bCs w:val="0"/>
          <w:color w:val="auto"/>
        </w:rPr>
        <w:t>（七） 同类项目业绩介绍</w:t>
      </w:r>
      <w:bookmarkEnd w:id="4"/>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5" w:name="_Toc515616111"/>
      <w:bookmarkStart w:id="6" w:name="_Toc227057975"/>
      <w:bookmarkStart w:id="7" w:name="_Toc226969369"/>
      <w:r>
        <w:rPr>
          <w:rFonts w:hint="eastAsia" w:ascii="宋体" w:hAnsi="宋体" w:eastAsia="宋体" w:cs="宋体"/>
          <w:b/>
          <w:bCs w:val="0"/>
          <w:color w:val="auto"/>
        </w:rPr>
        <w:t>（八）近年财务状况表</w:t>
      </w:r>
      <w:bookmarkEnd w:id="5"/>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6"/>
      <w:bookmarkEnd w:id="7"/>
    </w:tbl>
    <w:p w14:paraId="442907EF">
      <w:pPr>
        <w:pStyle w:val="5"/>
        <w:pageBreakBefore w:val="0"/>
        <w:numPr>
          <w:ilvl w:val="0"/>
          <w:numId w:val="8"/>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3021D8"/>
    <w:multiLevelType w:val="singleLevel"/>
    <w:tmpl w:val="BC3021D8"/>
    <w:lvl w:ilvl="0" w:tentative="0">
      <w:start w:val="1"/>
      <w:numFmt w:val="decimal"/>
      <w:suff w:val="nothing"/>
      <w:lvlText w:val="%1、"/>
      <w:lvlJc w:val="left"/>
    </w:lvl>
  </w:abstractNum>
  <w:abstractNum w:abstractNumId="1">
    <w:nsid w:val="D3991A55"/>
    <w:multiLevelType w:val="singleLevel"/>
    <w:tmpl w:val="D3991A55"/>
    <w:lvl w:ilvl="0" w:tentative="0">
      <w:start w:val="2"/>
      <w:numFmt w:val="chineseCounting"/>
      <w:suff w:val="nothing"/>
      <w:lvlText w:val="%1、"/>
      <w:lvlJc w:val="left"/>
      <w:rPr>
        <w:rFonts w:hint="eastAsia"/>
      </w:rPr>
    </w:lvl>
  </w:abstractNum>
  <w:abstractNum w:abstractNumId="2">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3">
    <w:nsid w:val="149FE491"/>
    <w:multiLevelType w:val="singleLevel"/>
    <w:tmpl w:val="149FE491"/>
    <w:lvl w:ilvl="0" w:tentative="0">
      <w:start w:val="1"/>
      <w:numFmt w:val="decimal"/>
      <w:suff w:val="nothing"/>
      <w:lvlText w:val="（%1）"/>
      <w:lvlJc w:val="left"/>
    </w:lvl>
  </w:abstractNum>
  <w:abstractNum w:abstractNumId="4">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3FB5696D"/>
    <w:multiLevelType w:val="singleLevel"/>
    <w:tmpl w:val="3FB5696D"/>
    <w:lvl w:ilvl="0" w:tentative="0">
      <w:start w:val="2"/>
      <w:numFmt w:val="decimal"/>
      <w:suff w:val="nothing"/>
      <w:lvlText w:val="（%1）"/>
      <w:lvlJc w:val="left"/>
    </w:lvl>
  </w:abstractNum>
  <w:abstractNum w:abstractNumId="6">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68FF1C22"/>
    <w:multiLevelType w:val="singleLevel"/>
    <w:tmpl w:val="68FF1C22"/>
    <w:lvl w:ilvl="0" w:tentative="0">
      <w:start w:val="9"/>
      <w:numFmt w:val="chineseCounting"/>
      <w:suff w:val="nothing"/>
      <w:lvlText w:val="(%1）"/>
      <w:lvlJc w:val="left"/>
      <w:rPr>
        <w:rFonts w:hint="eastAsia"/>
      </w:rPr>
    </w:lvl>
  </w:abstractNum>
  <w:num w:numId="1">
    <w:abstractNumId w:val="2"/>
  </w:num>
  <w:num w:numId="2">
    <w:abstractNumId w:val="6"/>
  </w:num>
  <w:num w:numId="3">
    <w:abstractNumId w:val="1"/>
  </w:num>
  <w:num w:numId="4">
    <w:abstractNumId w:val="5"/>
  </w:num>
  <w:num w:numId="5">
    <w:abstractNumId w:val="0"/>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9FC4E8C"/>
    <w:rsid w:val="0A153642"/>
    <w:rsid w:val="0A8A70DB"/>
    <w:rsid w:val="0AB67EE8"/>
    <w:rsid w:val="0AEE6ECB"/>
    <w:rsid w:val="0B422D73"/>
    <w:rsid w:val="0BB23382"/>
    <w:rsid w:val="0BCA3494"/>
    <w:rsid w:val="0BD77D20"/>
    <w:rsid w:val="0C472FF5"/>
    <w:rsid w:val="0D374B59"/>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4E1184E"/>
    <w:rsid w:val="15543DCE"/>
    <w:rsid w:val="15882855"/>
    <w:rsid w:val="15A70CC2"/>
    <w:rsid w:val="15B66837"/>
    <w:rsid w:val="15C22BAF"/>
    <w:rsid w:val="164964F8"/>
    <w:rsid w:val="16FE7423"/>
    <w:rsid w:val="1772678E"/>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BAC6712"/>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AB32EED"/>
    <w:rsid w:val="2B212C11"/>
    <w:rsid w:val="2C167B56"/>
    <w:rsid w:val="2C81045A"/>
    <w:rsid w:val="2C83659F"/>
    <w:rsid w:val="2C87189D"/>
    <w:rsid w:val="2C8959A3"/>
    <w:rsid w:val="2D850DA6"/>
    <w:rsid w:val="2E103575"/>
    <w:rsid w:val="2E7E2111"/>
    <w:rsid w:val="2F647CDF"/>
    <w:rsid w:val="2F8F217B"/>
    <w:rsid w:val="2FBD1650"/>
    <w:rsid w:val="2FE57FED"/>
    <w:rsid w:val="2FF40230"/>
    <w:rsid w:val="304E5B92"/>
    <w:rsid w:val="31937AF9"/>
    <w:rsid w:val="31CD76E3"/>
    <w:rsid w:val="31FA7B67"/>
    <w:rsid w:val="32231FB1"/>
    <w:rsid w:val="327C320A"/>
    <w:rsid w:val="328B3D6C"/>
    <w:rsid w:val="32E159D6"/>
    <w:rsid w:val="32E95FAD"/>
    <w:rsid w:val="33593561"/>
    <w:rsid w:val="335E433E"/>
    <w:rsid w:val="34151CC2"/>
    <w:rsid w:val="341C46B5"/>
    <w:rsid w:val="34225D58"/>
    <w:rsid w:val="34622BA8"/>
    <w:rsid w:val="346D235F"/>
    <w:rsid w:val="35097C16"/>
    <w:rsid w:val="35483B66"/>
    <w:rsid w:val="35492DCC"/>
    <w:rsid w:val="355E4D96"/>
    <w:rsid w:val="365E4CEA"/>
    <w:rsid w:val="367D7F86"/>
    <w:rsid w:val="36B0095D"/>
    <w:rsid w:val="36C809A0"/>
    <w:rsid w:val="374E46CA"/>
    <w:rsid w:val="37D335A1"/>
    <w:rsid w:val="387A2260"/>
    <w:rsid w:val="3881462B"/>
    <w:rsid w:val="39317DFF"/>
    <w:rsid w:val="39437B2D"/>
    <w:rsid w:val="39717ED8"/>
    <w:rsid w:val="39C15E4D"/>
    <w:rsid w:val="3A0D43C8"/>
    <w:rsid w:val="3A7819C3"/>
    <w:rsid w:val="3A922B1F"/>
    <w:rsid w:val="3B380984"/>
    <w:rsid w:val="3B8443B3"/>
    <w:rsid w:val="3C0718A9"/>
    <w:rsid w:val="3C37543B"/>
    <w:rsid w:val="3C3F7025"/>
    <w:rsid w:val="3C8E0D01"/>
    <w:rsid w:val="3C925059"/>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811983"/>
    <w:rsid w:val="43FF1225"/>
    <w:rsid w:val="441724E6"/>
    <w:rsid w:val="44620D9C"/>
    <w:rsid w:val="44967EC5"/>
    <w:rsid w:val="45F364C1"/>
    <w:rsid w:val="474B6641"/>
    <w:rsid w:val="479D080D"/>
    <w:rsid w:val="479E5398"/>
    <w:rsid w:val="4818023B"/>
    <w:rsid w:val="485F6737"/>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8C5937"/>
    <w:rsid w:val="4FC74BC1"/>
    <w:rsid w:val="4FE706D8"/>
    <w:rsid w:val="500A342C"/>
    <w:rsid w:val="502C2F31"/>
    <w:rsid w:val="504B14CF"/>
    <w:rsid w:val="50747D3D"/>
    <w:rsid w:val="50964E04"/>
    <w:rsid w:val="50B654C2"/>
    <w:rsid w:val="50EE11C2"/>
    <w:rsid w:val="51BC69A8"/>
    <w:rsid w:val="51DF79C9"/>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4557EC"/>
    <w:rsid w:val="5CCB5E61"/>
    <w:rsid w:val="5D2C7C6D"/>
    <w:rsid w:val="5D970D65"/>
    <w:rsid w:val="5EC950E6"/>
    <w:rsid w:val="5ED554A6"/>
    <w:rsid w:val="5F13572D"/>
    <w:rsid w:val="5F93686E"/>
    <w:rsid w:val="602731A9"/>
    <w:rsid w:val="60335F6D"/>
    <w:rsid w:val="60EC10CF"/>
    <w:rsid w:val="61057533"/>
    <w:rsid w:val="61B52ACC"/>
    <w:rsid w:val="62927577"/>
    <w:rsid w:val="63D83DB8"/>
    <w:rsid w:val="63DC20C2"/>
    <w:rsid w:val="64356146"/>
    <w:rsid w:val="64BD25A1"/>
    <w:rsid w:val="64DB0A9B"/>
    <w:rsid w:val="651E0F10"/>
    <w:rsid w:val="65800658"/>
    <w:rsid w:val="65D706BC"/>
    <w:rsid w:val="668313EA"/>
    <w:rsid w:val="66B173CA"/>
    <w:rsid w:val="66B421E9"/>
    <w:rsid w:val="67430D38"/>
    <w:rsid w:val="68147F98"/>
    <w:rsid w:val="687F3E33"/>
    <w:rsid w:val="68D51CA5"/>
    <w:rsid w:val="68FB170C"/>
    <w:rsid w:val="69847953"/>
    <w:rsid w:val="699B4CCF"/>
    <w:rsid w:val="69A2427D"/>
    <w:rsid w:val="69D02B99"/>
    <w:rsid w:val="6A2653D7"/>
    <w:rsid w:val="6ADF76DE"/>
    <w:rsid w:val="6B930322"/>
    <w:rsid w:val="6BCB6392"/>
    <w:rsid w:val="6BCE3108"/>
    <w:rsid w:val="6C4539A7"/>
    <w:rsid w:val="6C4E4BEA"/>
    <w:rsid w:val="6CEA70F7"/>
    <w:rsid w:val="6D17288C"/>
    <w:rsid w:val="6D4B1CBB"/>
    <w:rsid w:val="6DC24FB4"/>
    <w:rsid w:val="6E396833"/>
    <w:rsid w:val="6E7D5244"/>
    <w:rsid w:val="6EC46A44"/>
    <w:rsid w:val="6F520A4A"/>
    <w:rsid w:val="6F5E6FFE"/>
    <w:rsid w:val="6F655B31"/>
    <w:rsid w:val="70777DD3"/>
    <w:rsid w:val="707C5FB7"/>
    <w:rsid w:val="71096990"/>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EF45C53"/>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3082</Words>
  <Characters>3431</Characters>
  <Lines>30</Lines>
  <Paragraphs>8</Paragraphs>
  <TotalTime>4</TotalTime>
  <ScaleCrop>false</ScaleCrop>
  <LinksUpToDate>false</LinksUpToDate>
  <CharactersWithSpaces>4417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2026-05-19T01:11:51Z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